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附件：</w:t>
      </w:r>
    </w:p>
    <w:p/>
    <w:p/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75"/>
        <w:gridCol w:w="2126"/>
        <w:gridCol w:w="1276"/>
        <w:gridCol w:w="141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行政许可事项</w:t>
            </w: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项目所在县（市、区）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审批时间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3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雷电防护装置竣工验收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南内环街加油、加气站项目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万柏林区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2023年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《国务院对确需保留的行政审批项目设定行政许可的决定》（国务院令第412号）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《气象灾害防御条例》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《国务院关于优化建设工程防雷许可的决定》（国发〔2016〕39号）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《中国气象局关于修改&lt;防雷减灾管理办法&gt;的决定）》（中国气象局令第24号）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《雷电防护装置设计审核和竣工验收规定》（中国气象局令第37号）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《山西省企业投资项目承诺制规定》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《山西省深化行政审批制度改革实施方案》（晋政办发〔2014〕34号）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大东关加油站迁建项目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杏花岭区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2023年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3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34" w:type="dxa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FkMGJjMzhjYzNjNzk4OWZiNGI3NGZjNzU1MzFiMzQifQ=="/>
  </w:docVars>
  <w:rsids>
    <w:rsidRoot w:val="002A5954"/>
    <w:rsid w:val="00110A42"/>
    <w:rsid w:val="001D2C30"/>
    <w:rsid w:val="002A5954"/>
    <w:rsid w:val="00500973"/>
    <w:rsid w:val="00701D2F"/>
    <w:rsid w:val="007F0F59"/>
    <w:rsid w:val="00BE60D7"/>
    <w:rsid w:val="00C93B3E"/>
    <w:rsid w:val="33FE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523</Characters>
  <Lines>4</Lines>
  <Paragraphs>1</Paragraphs>
  <TotalTime>27</TotalTime>
  <ScaleCrop>false</ScaleCrop>
  <LinksUpToDate>false</LinksUpToDate>
  <CharactersWithSpaces>613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2023-12-14T03:57:00Z</dcterms:created>
  <dc:creator>曹洪菁</dc:creator>
  <cp:lastModifiedBy>安清</cp:lastModifiedBy>
  <dcterms:modified xsi:type="dcterms:W3CDTF">2023-12-14T08:04:40Z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11534CC76C054BA1A7374362ED6623D6_12</vt:lpwstr>
  </property>
</Properties>
</file>